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Zapytanie ofertowe dotyczące:</w:t>
      </w:r>
    </w:p>
    <w:p>
      <w:pPr>
        <w:pStyle w:val="normal11"/>
        <w:rPr/>
      </w:pPr>
      <w:r>
        <w:rPr/>
      </w:r>
    </w:p>
    <w:tbl>
      <w:tblPr>
        <w:tblStyle w:val="Table1"/>
        <w:tblW w:w="89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600"/>
      </w:tblPr>
      <w:tblGrid>
        <w:gridCol w:w="657"/>
        <w:gridCol w:w="2733"/>
        <w:gridCol w:w="4080"/>
        <w:gridCol w:w="1470"/>
      </w:tblGrid>
      <w:tr>
        <w:trPr/>
        <w:tc>
          <w:tcPr>
            <w:tcW w:w="657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2733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b/>
                <w:bCs/>
              </w:rPr>
            </w:pPr>
            <w:r>
              <w:rPr>
                <w:b/>
                <w:bCs/>
              </w:rPr>
              <w:t>Nazwa</w:t>
            </w:r>
          </w:p>
        </w:tc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b/>
                <w:bCs/>
              </w:rPr>
            </w:pPr>
            <w:r>
              <w:rPr>
                <w:b/>
                <w:bCs/>
              </w:rPr>
              <w:t>Specyfikacja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</w:tr>
      <w:tr>
        <w:trPr/>
        <w:tc>
          <w:tcPr>
            <w:tcW w:w="657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1.</w:t>
            </w:r>
          </w:p>
        </w:tc>
        <w:tc>
          <w:tcPr>
            <w:tcW w:w="2733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Fantom do RKO osoby dorosłej</w:t>
            </w:r>
          </w:p>
        </w:tc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Fantom do RKO osoby dorosłej, posiada technologię informacji zwrotnej o jakości uciskania klatki piersiowej za pomocą mobilnej aplikacji, mata szkoleniowa w zestawie.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  <w:tr>
        <w:trPr/>
        <w:tc>
          <w:tcPr>
            <w:tcW w:w="657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2.</w:t>
            </w:r>
          </w:p>
        </w:tc>
        <w:tc>
          <w:tcPr>
            <w:tcW w:w="2733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Fantom do nauki RKO dziecka</w:t>
            </w:r>
          </w:p>
        </w:tc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Fantom do RKO dziecka, posiadające technologię informacji zwrotnej o jakości uciskania klatki piersiowej za pomocą mobilnej aplikacji.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  <w:tr>
        <w:trPr/>
        <w:tc>
          <w:tcPr>
            <w:tcW w:w="657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3.</w:t>
            </w:r>
          </w:p>
        </w:tc>
        <w:tc>
          <w:tcPr>
            <w:tcW w:w="2733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Fantom do nauki RKO niemowlę</w:t>
            </w:r>
          </w:p>
        </w:tc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Fantom do RKO oraz zadławień niemowlęcia, posiada kliker do optymalnego uciskania klatki piersiowej, klatka piersiowa unosi się i opada.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  <w:tr>
        <w:trPr/>
        <w:tc>
          <w:tcPr>
            <w:tcW w:w="657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4.</w:t>
            </w:r>
          </w:p>
        </w:tc>
        <w:tc>
          <w:tcPr>
            <w:tcW w:w="2733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Defibrylator AED treningowy</w:t>
            </w:r>
          </w:p>
        </w:tc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Szkoleniowy defibrylator AED posiadający scenariusze do RKO osoby dorosłej i dziecka, kompatybilny z fantomami, komunikaty głosowe w j. Polskim.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  <w:tr>
        <w:trPr/>
        <w:tc>
          <w:tcPr>
            <w:tcW w:w="657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5.</w:t>
            </w:r>
          </w:p>
        </w:tc>
        <w:tc>
          <w:tcPr>
            <w:tcW w:w="2733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Apteczka szkoleniowa</w:t>
            </w:r>
          </w:p>
        </w:tc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Apteczka szkoleniowa w formie plecaka (podzielona na moduły), posiadająca następujące wyposażenie: rękawiczki nitrylowe 30 szt, maski typu Pocket - 2 szt., ustniki do ćwiczeń - 14 szt., Karty "Wezwanie pomocy" - 14 szt, Folia NRC - 4 szt., flara świetlna - 2 szt., kamizelka odblaskowa - 1 szt., opaska zaciskowa treningowa - 4 szt., bandaże eleastyczny - 8 szt., gaza opatrunkowa 1m2 - 4 szt, tampon do nosa - 4 szt., gaza do pakowania ran - 6 szt., ampułkostrzykawka - 4 szt., opatrunek hydrożelowy 5x5 cm - 2 szt., bransoletka cukrzycowa - 1 szt., karta ćwiczeń "Wezwij Pomoc" - 14 szt., folia NRC - 8 szt., szyna typu Sam Splint - 2 szt., chusta trójkątna - 2 szt., bandaż elastyczny - 4 szt, opaska zaciskowa szkoleniowa – 4 szt.,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  <w:tr>
        <w:trPr/>
        <w:tc>
          <w:tcPr>
            <w:tcW w:w="657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6.</w:t>
            </w:r>
          </w:p>
        </w:tc>
        <w:tc>
          <w:tcPr>
            <w:tcW w:w="2733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 xml:space="preserve">Trenażer do zakrztuszeń osoby dorosłej </w:t>
            </w:r>
          </w:p>
        </w:tc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Trenażer w formie kamizelki do nauki udzielania pomocy podczas zakrztuszeń osób dorosłych, posiada 10 pianowych ciał obcych wielokrotnego użytku, w zestawie torba transportowa.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  <w:tr>
        <w:trPr/>
        <w:tc>
          <w:tcPr>
            <w:tcW w:w="657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7.</w:t>
            </w:r>
          </w:p>
        </w:tc>
        <w:tc>
          <w:tcPr>
            <w:tcW w:w="2733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Trenażer do zakrztuszeń dziecka</w:t>
            </w:r>
          </w:p>
        </w:tc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>
                <w:sz w:val="20"/>
                <w:szCs w:val="20"/>
              </w:rPr>
              <w:t>Trenażer w formie kamizelki do nauki udzielania pomocy podczas zakrztuszeń dzieci, posiada 10 pianowych ciał obcych wielokrotnego użytku, w zestawie torba transportowa.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  <w:tr>
        <w:trPr/>
        <w:tc>
          <w:tcPr>
            <w:tcW w:w="657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8.</w:t>
            </w:r>
          </w:p>
        </w:tc>
        <w:tc>
          <w:tcPr>
            <w:tcW w:w="2733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Trenażer do zakładania opatrunku uciskowego</w:t>
            </w:r>
          </w:p>
        </w:tc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Trenażer imitujący kończynę do zakładania opatrunku uciskowego, opaski uciskowej oraz wypełnienia rany głębokiej z możliwością wykorzystania sztucznej krwi.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  <w:tr>
        <w:trPr/>
        <w:tc>
          <w:tcPr>
            <w:tcW w:w="657" w:type="dxa"/>
            <w:tcBorders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9.</w:t>
            </w:r>
          </w:p>
        </w:tc>
        <w:tc>
          <w:tcPr>
            <w:tcW w:w="2733" w:type="dxa"/>
            <w:tcBorders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Elektrody do defibrylatora szkoleniowego AED</w:t>
            </w:r>
          </w:p>
        </w:tc>
        <w:tc>
          <w:tcPr>
            <w:tcW w:w="4080" w:type="dxa"/>
            <w:tcBorders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Elektrody szkoleniowe kompatybilne z defibrylatorem szkoleniowym AED.</w:t>
            </w:r>
          </w:p>
        </w:tc>
        <w:tc>
          <w:tcPr>
            <w:tcW w:w="1470" w:type="dxa"/>
            <w:tcBorders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  <w:tr>
        <w:trPr/>
        <w:tc>
          <w:tcPr>
            <w:tcW w:w="657" w:type="dxa"/>
            <w:tcBorders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10.</w:t>
            </w:r>
          </w:p>
        </w:tc>
        <w:tc>
          <w:tcPr>
            <w:tcW w:w="2733" w:type="dxa"/>
            <w:tcBorders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Zestaw ustników do maski typu Pocket</w:t>
            </w:r>
          </w:p>
        </w:tc>
        <w:tc>
          <w:tcPr>
            <w:tcW w:w="4080" w:type="dxa"/>
            <w:tcBorders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Zestaw ustników szkoleniowych do maski typu Pocket - 25 szt w zestawie.</w:t>
            </w:r>
          </w:p>
        </w:tc>
        <w:tc>
          <w:tcPr>
            <w:tcW w:w="1470" w:type="dxa"/>
            <w:tcBorders>
              <w:bottom w:val="single" w:sz="8" w:space="0" w:color="000000"/>
            </w:tcBorders>
            <w:shd w:fill="auto" w:val="clear"/>
          </w:tcPr>
          <w:p>
            <w:pPr>
              <w:pStyle w:val="normal1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rPr/>
            </w:pPr>
            <w:r>
              <w:rPr/>
              <w:t>96 szt.</w:t>
            </w:r>
          </w:p>
        </w:tc>
      </w:tr>
    </w:tbl>
    <w:p>
      <w:pPr>
        <w:pStyle w:val="normal11"/>
        <w:rPr/>
      </w:pPr>
      <w:r>
        <w:rPr/>
      </w:r>
    </w:p>
    <w:p>
      <w:pPr>
        <w:pStyle w:val="normal11"/>
        <w:rPr/>
      </w:pPr>
      <w:r>
        <w:rPr/>
      </w:r>
    </w:p>
    <w:p>
      <w:pPr>
        <w:pStyle w:val="Heading2"/>
        <w:keepNext w:val="false"/>
        <w:keepLines w:val="false"/>
        <w:shd w:val="clear" w:fill="FFFFFF"/>
        <w:spacing w:lineRule="auto" w:line="262" w:before="360" w:after="80"/>
        <w:rPr>
          <w:b/>
          <w:bCs/>
          <w:sz w:val="28"/>
          <w:szCs w:val="28"/>
        </w:rPr>
      </w:pPr>
      <w:bookmarkStart w:id="0" w:name="_heading=h.6pi5qywl4y4r"/>
      <w:bookmarkEnd w:id="0"/>
      <w:r>
        <w:rPr>
          <w:b/>
          <w:bCs/>
          <w:sz w:val="28"/>
          <w:szCs w:val="28"/>
        </w:rPr>
        <w:t>Zakres zapytania i informacje do uzupełnienia przez oferenta</w:t>
      </w:r>
    </w:p>
    <w:p>
      <w:pPr>
        <w:pStyle w:val="normal11"/>
        <w:shd w:val="clear" w:fill="FFFFFF"/>
        <w:spacing w:lineRule="auto" w:line="276" w:before="240" w:after="240"/>
        <w:rPr/>
      </w:pPr>
      <w:r>
        <w:rPr/>
        <w:t>Prosimy o przesłanie:</w:t>
      </w:r>
    </w:p>
    <w:p>
      <w:pPr>
        <w:pStyle w:val="normal11"/>
        <w:numPr>
          <w:ilvl w:val="0"/>
          <w:numId w:val="2"/>
        </w:numPr>
        <w:shd w:val="clear" w:fill="FFFFFF"/>
        <w:spacing w:lineRule="auto" w:line="252" w:before="240" w:after="0"/>
        <w:ind w:hanging="360" w:start="720"/>
        <w:rPr/>
      </w:pPr>
      <w:r>
        <w:rPr/>
        <w:t>Cen jednostkowych brutto dla każdego elementu zestawu,</w:t>
      </w:r>
    </w:p>
    <w:p>
      <w:pPr>
        <w:pStyle w:val="normal11"/>
        <w:numPr>
          <w:ilvl w:val="0"/>
          <w:numId w:val="2"/>
        </w:numPr>
        <w:shd w:val="clear" w:fill="FFFFFF"/>
        <w:spacing w:lineRule="auto" w:line="252"/>
        <w:ind w:hanging="360" w:start="720"/>
        <w:rPr/>
      </w:pPr>
      <w:r>
        <w:rPr/>
        <w:t>Informacji o dostępności produktów oraz czasie realizacji zamówienia,</w:t>
      </w:r>
    </w:p>
    <w:p>
      <w:pPr>
        <w:pStyle w:val="normal11"/>
        <w:numPr>
          <w:ilvl w:val="0"/>
          <w:numId w:val="2"/>
        </w:numPr>
        <w:shd w:val="clear" w:fill="FFFFFF"/>
        <w:spacing w:lineRule="auto" w:line="252"/>
        <w:ind w:hanging="360" w:start="720"/>
        <w:rPr/>
      </w:pPr>
      <w:r>
        <w:rPr/>
        <w:t>Warunków gwarancji i serwisu,</w:t>
      </w:r>
    </w:p>
    <w:p>
      <w:pPr>
        <w:pStyle w:val="normal11"/>
        <w:numPr>
          <w:ilvl w:val="0"/>
          <w:numId w:val="2"/>
        </w:numPr>
        <w:shd w:val="clear" w:fill="FFFFFF"/>
        <w:spacing w:lineRule="auto" w:line="252" w:before="0" w:after="240"/>
        <w:ind w:hanging="360" w:start="720"/>
        <w:rPr/>
      </w:pPr>
      <w:r>
        <w:rPr/>
        <w:t>Kosztów dostawy (jeśli dotyczy),</w:t>
      </w:r>
    </w:p>
    <w:p>
      <w:pPr>
        <w:pStyle w:val="Heading2"/>
        <w:keepNext w:val="false"/>
        <w:keepLines w:val="false"/>
        <w:shd w:val="clear" w:fill="FFFFFF"/>
        <w:spacing w:lineRule="auto" w:line="262" w:before="360" w:after="80"/>
        <w:rPr>
          <w:b/>
          <w:bCs/>
          <w:sz w:val="28"/>
          <w:szCs w:val="28"/>
        </w:rPr>
      </w:pPr>
      <w:bookmarkStart w:id="1" w:name="_heading=h.1i26hugm85ws"/>
      <w:bookmarkEnd w:id="1"/>
      <w:r>
        <w:rPr>
          <w:b/>
          <w:bCs/>
          <w:sz w:val="28"/>
          <w:szCs w:val="28"/>
        </w:rPr>
        <w:t>Termin i sposób złożenia oferty</w:t>
      </w:r>
    </w:p>
    <w:p>
      <w:pPr>
        <w:pStyle w:val="normal11"/>
        <w:shd w:val="clear" w:fill="FFFFFF"/>
        <w:spacing w:lineRule="auto" w:line="276" w:before="240" w:after="240"/>
        <w:rPr/>
      </w:pPr>
      <w:r>
        <w:rPr/>
        <w:t>Ofertę prosimy przesłać w formie elektronicznej na adres: marcin.fleischer@zosprp.org.pl</w:t>
        <w:br/>
        <w:t xml:space="preserve"> w terminie do dnia 22.10.2026 r. do godz. 10.00.</w:t>
      </w:r>
    </w:p>
    <w:p>
      <w:pPr>
        <w:pStyle w:val="Heading2"/>
        <w:keepNext w:val="false"/>
        <w:keepLines w:val="false"/>
        <w:shd w:val="clear" w:fill="FFFFFF"/>
        <w:spacing w:lineRule="auto" w:line="262" w:before="360" w:after="80"/>
        <w:rPr>
          <w:b/>
          <w:bCs/>
          <w:sz w:val="28"/>
          <w:szCs w:val="28"/>
        </w:rPr>
      </w:pPr>
      <w:bookmarkStart w:id="2" w:name="_heading=h.716cjsr07vs4"/>
      <w:bookmarkEnd w:id="2"/>
      <w:r>
        <w:rPr>
          <w:b/>
          <w:bCs/>
          <w:sz w:val="28"/>
          <w:szCs w:val="28"/>
        </w:rPr>
        <w:t>Kryteria wyboru:</w:t>
      </w:r>
    </w:p>
    <w:p>
      <w:pPr>
        <w:pStyle w:val="normal11"/>
        <w:numPr>
          <w:ilvl w:val="0"/>
          <w:numId w:val="1"/>
        </w:numPr>
        <w:ind w:hanging="360" w:start="720"/>
        <w:rPr>
          <w:u w:val="none"/>
        </w:rPr>
      </w:pPr>
      <w:r>
        <w:rPr/>
        <w:t>cena brutto - 80 %,</w:t>
      </w:r>
    </w:p>
    <w:p>
      <w:pPr>
        <w:pStyle w:val="normal11"/>
        <w:numPr>
          <w:ilvl w:val="0"/>
          <w:numId w:val="1"/>
        </w:numPr>
        <w:ind w:hanging="360" w:start="720"/>
        <w:rPr>
          <w:u w:val="none"/>
        </w:rPr>
      </w:pPr>
      <w:r>
        <w:rPr/>
        <w:t>dostawa w ciągu 20 dni roboczych od podpisania umowy - 10 %,</w:t>
      </w:r>
    </w:p>
    <w:p>
      <w:pPr>
        <w:pStyle w:val="normal11"/>
        <w:numPr>
          <w:ilvl w:val="0"/>
          <w:numId w:val="1"/>
        </w:numPr>
        <w:ind w:hanging="360" w:start="720"/>
        <w:rPr>
          <w:u w:val="none"/>
        </w:rPr>
      </w:pPr>
      <w:r>
        <w:rPr/>
        <w:t>gwarancja 24 miesiące - 10 %</w:t>
      </w:r>
    </w:p>
    <w:p>
      <w:pPr>
        <w:pStyle w:val="Heading2"/>
        <w:keepNext w:val="false"/>
        <w:keepLines w:val="false"/>
        <w:shd w:val="clear" w:fill="FFFFFF"/>
        <w:spacing w:lineRule="auto" w:line="262" w:before="360" w:after="80"/>
        <w:rPr>
          <w:b/>
          <w:bCs/>
          <w:sz w:val="28"/>
          <w:szCs w:val="28"/>
        </w:rPr>
      </w:pPr>
      <w:bookmarkStart w:id="3" w:name="_heading=h.9i4bvijyrh7"/>
      <w:bookmarkEnd w:id="3"/>
      <w:r>
        <w:rPr>
          <w:b/>
          <w:bCs/>
          <w:sz w:val="28"/>
          <w:szCs w:val="28"/>
        </w:rPr>
        <w:t>Uwagi formalne</w:t>
      </w:r>
    </w:p>
    <w:p>
      <w:pPr>
        <w:pStyle w:val="normal11"/>
        <w:shd w:val="clear" w:fill="FFFFFF"/>
        <w:spacing w:lineRule="auto" w:line="276" w:before="240" w:after="0"/>
        <w:ind w:hanging="0" w:start="720"/>
        <w:rPr/>
      </w:pPr>
      <w:r>
        <w:rPr/>
        <w:t>●</w:t>
      </w:r>
      <w:r>
        <w:rPr>
          <w:rFonts w:eastAsia="Times New Roman" w:cs="Times New Roman" w:ascii="Times New Roman" w:hAnsi="Times New Roman"/>
          <w:sz w:val="14"/>
          <w:szCs w:val="14"/>
        </w:rPr>
        <w:t xml:space="preserve">       </w:t>
      </w:r>
      <w:r>
        <w:rPr/>
        <w:t>Niniejsze zapytanie ofertowe nie stanowi oferty w rozumieniu art. 66 §1 Kodeksu cywilnego i nie jest zobowiązaniem do zawarcia umowy.</w:t>
      </w:r>
    </w:p>
    <w:p>
      <w:pPr>
        <w:pStyle w:val="normal11"/>
        <w:shd w:val="clear" w:fill="FFFFFF"/>
        <w:spacing w:lineRule="auto" w:line="276"/>
        <w:ind w:hanging="0" w:start="720"/>
        <w:rPr/>
      </w:pPr>
      <w:r>
        <w:rPr/>
        <w:t>●</w:t>
      </w:r>
      <w:r>
        <w:rPr>
          <w:rFonts w:eastAsia="Times New Roman" w:cs="Times New Roman" w:ascii="Times New Roman" w:hAnsi="Times New Roman"/>
          <w:sz w:val="14"/>
          <w:szCs w:val="14"/>
        </w:rPr>
        <w:t xml:space="preserve">       </w:t>
      </w:r>
      <w:r>
        <w:rPr/>
        <w:t>Zamawiający zastrzega sobie prawo do negocjacji warunków z wybranymi oferentami oraz do unieważnienia postępowania bez podania przyczyny.</w:t>
      </w:r>
    </w:p>
    <w:p>
      <w:pPr>
        <w:pStyle w:val="normal11"/>
        <w:shd w:val="clear" w:fill="FFFFFF"/>
        <w:spacing w:lineRule="auto" w:line="276"/>
        <w:ind w:hanging="0" w:start="720"/>
        <w:rPr/>
      </w:pPr>
      <w:r>
        <w:rPr/>
        <w:t>●</w:t>
      </w:r>
      <w:r>
        <w:rPr>
          <w:rFonts w:eastAsia="Times New Roman" w:cs="Times New Roman" w:ascii="Times New Roman" w:hAnsi="Times New Roman"/>
          <w:sz w:val="14"/>
          <w:szCs w:val="14"/>
        </w:rPr>
        <w:t xml:space="preserve">       </w:t>
      </w:r>
      <w:r>
        <w:rPr/>
        <w:t xml:space="preserve">Oferent pozostaje związany złożoną ofertą przez okres od </w:t>
      </w:r>
      <w:r>
        <w:rPr/>
        <w:t>23</w:t>
      </w:r>
      <w:r>
        <w:rPr/>
        <w:t xml:space="preserve">.10.26 r do </w:t>
      </w:r>
      <w:r>
        <w:rPr/>
        <w:t>23</w:t>
      </w:r>
      <w:r>
        <w:rPr/>
        <w:t>.1</w:t>
      </w:r>
      <w:r>
        <w:rPr/>
        <w:t>1</w:t>
      </w:r>
      <w:r>
        <w:rPr/>
        <w:t>.26r</w:t>
      </w:r>
    </w:p>
    <w:p>
      <w:pPr>
        <w:pStyle w:val="normal11"/>
        <w:shd w:val="clear" w:fill="FFFFFF"/>
        <w:spacing w:lineRule="auto" w:line="276"/>
        <w:ind w:hanging="0" w:start="720"/>
        <w:rPr/>
      </w:pPr>
      <w:r>
        <w:rPr/>
        <w:t>●</w:t>
      </w:r>
      <w:r>
        <w:rPr>
          <w:rFonts w:eastAsia="Times New Roman" w:cs="Times New Roman" w:ascii="Times New Roman" w:hAnsi="Times New Roman"/>
          <w:sz w:val="14"/>
          <w:szCs w:val="14"/>
        </w:rPr>
        <w:t xml:space="preserve">       </w:t>
      </w:r>
      <w:r>
        <w:rPr/>
        <w:t>W przypadku oferowania sprzętu równoważnego prosimy o załączenie pełnej specyfikacji technicznej umożliwiającej ocenę zgodności.</w:t>
      </w:r>
    </w:p>
    <w:p>
      <w:pPr>
        <w:pStyle w:val="normal11"/>
        <w:shd w:val="clear" w:fill="FFFFFF"/>
        <w:spacing w:lineRule="auto" w:line="276" w:before="240" w:after="240"/>
        <w:rPr/>
      </w:pPr>
      <w:r>
        <w:rPr/>
        <w:t>Wszelkie pytania prosimy kierować na adres: marcin.fleischer@zosprp.org.pl</w:t>
      </w:r>
    </w:p>
    <w:p>
      <w:pPr>
        <w:pStyle w:val="normal11"/>
        <w:shd w:val="clear" w:fill="FFFFFF"/>
        <w:spacing w:lineRule="auto" w:line="276" w:before="240" w:after="240"/>
        <w:rPr>
          <w:color w:val="313131"/>
        </w:rPr>
      </w:pPr>
      <w:r>
        <w:rPr>
          <w:color w:val="313131"/>
        </w:rPr>
      </w:r>
    </w:p>
    <w:p>
      <w:pPr>
        <w:pStyle w:val="normal11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Wingdings">
    <w:charset w:val="02"/>
    <w:family w:val="auto"/>
    <w:pitch w:val="default"/>
    <w:embedRegular r:id="rId1" w:fontKey="{01014A78-CABC-4EF0-12AC-5CD89AEFDE01}"/>
    <w:embedBold r:id="rId2" w:fontKey="{02014A78-CABC-4EF0-12AC-5CD89AEFDE02}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Arial" w:hAnsi="Arial" w:eastAsia="Arial" w:cs="Arial"/>
        <w:color w:val="313131"/>
        <w:sz w:val="24"/>
        <w:szCs w:val="24"/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start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start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start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Nagwek">
    <w:name w:val="Nagłówek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1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Nagwekuser">
    <w:name w:val="Nagłówek (user)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1"/>
    <w:qFormat/>
    <w:pPr>
      <w:suppressLineNumbers/>
    </w:pPr>
    <w:rPr>
      <w:rFonts w:cs="Arial"/>
    </w:rPr>
  </w:style>
  <w:style w:type="paragraph" w:styleId="normal11" w:default="1">
    <w:name w:val="normal1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gxccIFC5CjRmn+0F4L4nk9NPGxw==">CgMxLjAyDmguNnBpNXF5d2w0eTRyMg5oLjFpMjZodWdtODV3czIOaC43MTZjanNyMDd2czQyDWguOWk0YnZpanlyaDc4AHIhMXJiZVVPb1U2eTNrZGZ6b3dtRDg4RVl1NlFBc2dQRVpi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LibreOffice/26.2.6.3$Windows_X86_64 LibreOffice_project/8221e31b3ac356a1623c672912a3d2b492f7e3d1</Application>
  <AppVersion>15.0000</AppVersion>
  <Pages>2</Pages>
  <Words>534</Words>
  <Characters>3099</Characters>
  <CharactersWithSpaces>3590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2026-10-08T10:26:24Z</dcterms:modified>
  <cp:revision>1</cp:revision>
  <dc:subject/>
  <dc:title/>
</cp:coreProperties>
</file>